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64B9" w14:textId="6CD51A20" w:rsidR="00273931" w:rsidRPr="00273931" w:rsidRDefault="00273931" w:rsidP="00273931">
      <w:pPr>
        <w:pStyle w:val="whitespace-pre-wrap"/>
        <w:jc w:val="center"/>
        <w:rPr>
          <w:rFonts w:ascii="Calibri" w:hAnsi="Calibri" w:cs="Calibri"/>
        </w:rPr>
      </w:pPr>
      <w:r w:rsidRPr="00273931">
        <w:rPr>
          <w:rStyle w:val="Strong"/>
          <w:rFonts w:ascii="Calibri" w:eastAsiaTheme="majorEastAsia" w:hAnsi="Calibri" w:cs="Calibri"/>
        </w:rPr>
        <w:t>Red Lion Pub Islip - Asset of Community V</w:t>
      </w:r>
      <w:r w:rsidR="00E840BA">
        <w:rPr>
          <w:rStyle w:val="Strong"/>
          <w:rFonts w:ascii="Calibri" w:eastAsiaTheme="majorEastAsia" w:hAnsi="Calibri" w:cs="Calibri"/>
        </w:rPr>
        <w:t>alue – Overview</w:t>
      </w:r>
    </w:p>
    <w:p w14:paraId="43250BFC" w14:textId="77777777" w:rsidR="00273931" w:rsidRDefault="00273931" w:rsidP="00273931">
      <w:pPr>
        <w:pStyle w:val="NoSpacing"/>
        <w:rPr>
          <w:rStyle w:val="Strong"/>
          <w:rFonts w:ascii="Calibri" w:hAnsi="Calibri" w:cs="Calibri"/>
          <w:sz w:val="22"/>
          <w:szCs w:val="22"/>
        </w:rPr>
      </w:pPr>
      <w:r w:rsidRPr="00273931">
        <w:rPr>
          <w:rStyle w:val="Strong"/>
          <w:rFonts w:ascii="Calibri" w:hAnsi="Calibri" w:cs="Calibri"/>
          <w:sz w:val="22"/>
          <w:szCs w:val="22"/>
        </w:rPr>
        <w:t>1. Current Status</w:t>
      </w:r>
    </w:p>
    <w:p w14:paraId="13FA1AFC" w14:textId="77777777" w:rsidR="00273931" w:rsidRPr="00273931" w:rsidRDefault="00273931" w:rsidP="00273931">
      <w:pPr>
        <w:pStyle w:val="NoSpacing"/>
        <w:rPr>
          <w:rFonts w:ascii="Calibri" w:hAnsi="Calibri" w:cs="Calibri"/>
          <w:sz w:val="10"/>
          <w:szCs w:val="10"/>
        </w:rPr>
      </w:pPr>
    </w:p>
    <w:p w14:paraId="7F49A945" w14:textId="77777777" w:rsidR="00273931" w:rsidRPr="00273931" w:rsidRDefault="00273931" w:rsidP="00273931">
      <w:pPr>
        <w:pStyle w:val="NoSpacing"/>
        <w:rPr>
          <w:rFonts w:ascii="Calibri" w:hAnsi="Calibri" w:cs="Calibri"/>
          <w:sz w:val="22"/>
          <w:szCs w:val="22"/>
        </w:rPr>
      </w:pPr>
      <w:r w:rsidRPr="00273931">
        <w:rPr>
          <w:rFonts w:ascii="Calibri" w:hAnsi="Calibri" w:cs="Calibri"/>
          <w:sz w:val="22"/>
          <w:szCs w:val="22"/>
        </w:rPr>
        <w:t>The Red Lion has been listed as an Asset of Community Value by Cherwell District Council. This gives the community the right to bid for the pub if it comes up for sale, though not the right to buy it. The owner retains the right to accept or reject any community bid and set the sale price.</w:t>
      </w:r>
    </w:p>
    <w:p w14:paraId="07DB2256" w14:textId="77777777" w:rsidR="00273931" w:rsidRPr="00273931" w:rsidRDefault="00273931" w:rsidP="00273931">
      <w:pPr>
        <w:pStyle w:val="NoSpacing"/>
        <w:rPr>
          <w:rFonts w:ascii="Calibri" w:hAnsi="Calibri" w:cs="Calibri"/>
          <w:sz w:val="22"/>
          <w:szCs w:val="22"/>
        </w:rPr>
      </w:pPr>
      <w:r w:rsidRPr="00273931">
        <w:rPr>
          <w:rFonts w:ascii="Calibri" w:hAnsi="Calibri" w:cs="Calibri"/>
          <w:sz w:val="22"/>
          <w:szCs w:val="22"/>
        </w:rPr>
        <w:t xml:space="preserve">The property is currently marketed by </w:t>
      </w:r>
      <w:proofErr w:type="spellStart"/>
      <w:r w:rsidRPr="00273931">
        <w:rPr>
          <w:rFonts w:ascii="Calibri" w:hAnsi="Calibri" w:cs="Calibri"/>
          <w:sz w:val="22"/>
          <w:szCs w:val="22"/>
        </w:rPr>
        <w:t>Urbanside</w:t>
      </w:r>
      <w:proofErr w:type="spellEnd"/>
      <w:r w:rsidRPr="00273931">
        <w:rPr>
          <w:rFonts w:ascii="Calibri" w:hAnsi="Calibri" w:cs="Calibri"/>
          <w:sz w:val="22"/>
          <w:szCs w:val="22"/>
        </w:rPr>
        <w:t xml:space="preserve"> Property at £675,000 plus VAT for the freehold interest with vacant possession, including fixtures and fittings.</w:t>
      </w:r>
    </w:p>
    <w:p w14:paraId="47EFBD64" w14:textId="7CC0E1CE" w:rsidR="00273931" w:rsidRDefault="00273931" w:rsidP="00273931">
      <w:pPr>
        <w:pStyle w:val="NoSpacing"/>
        <w:rPr>
          <w:rFonts w:ascii="Calibri" w:hAnsi="Calibri" w:cs="Calibri"/>
          <w:sz w:val="22"/>
          <w:szCs w:val="22"/>
        </w:rPr>
      </w:pPr>
      <w:r w:rsidRPr="00273931">
        <w:rPr>
          <w:rFonts w:ascii="Calibri" w:hAnsi="Calibri" w:cs="Calibri"/>
          <w:sz w:val="22"/>
          <w:szCs w:val="22"/>
        </w:rPr>
        <w:t>We have contacted Cherwell District Council to confirm whether the owner has formally notified them of their intention to sell.</w:t>
      </w:r>
    </w:p>
    <w:p w14:paraId="1FEC6624" w14:textId="77777777" w:rsidR="00273931" w:rsidRPr="00273931" w:rsidRDefault="00273931" w:rsidP="00273931">
      <w:pPr>
        <w:pStyle w:val="NoSpacing"/>
        <w:rPr>
          <w:rFonts w:ascii="Calibri" w:hAnsi="Calibri" w:cs="Calibri"/>
          <w:sz w:val="10"/>
          <w:szCs w:val="10"/>
        </w:rPr>
      </w:pPr>
    </w:p>
    <w:p w14:paraId="534192F3" w14:textId="77777777" w:rsidR="00273931" w:rsidRDefault="00273931" w:rsidP="00273931">
      <w:pPr>
        <w:pStyle w:val="NoSpacing"/>
        <w:rPr>
          <w:rStyle w:val="Strong"/>
          <w:rFonts w:ascii="Calibri" w:hAnsi="Calibri" w:cs="Calibri"/>
          <w:sz w:val="22"/>
          <w:szCs w:val="22"/>
        </w:rPr>
      </w:pPr>
      <w:r w:rsidRPr="00273931">
        <w:rPr>
          <w:rStyle w:val="Strong"/>
          <w:rFonts w:ascii="Calibri" w:hAnsi="Calibri" w:cs="Calibri"/>
          <w:sz w:val="22"/>
          <w:szCs w:val="22"/>
        </w:rPr>
        <w:t>2. Timeline and Process</w:t>
      </w:r>
    </w:p>
    <w:p w14:paraId="05A07E9A" w14:textId="77777777" w:rsidR="00273931" w:rsidRPr="00273931" w:rsidRDefault="00273931" w:rsidP="00273931">
      <w:pPr>
        <w:pStyle w:val="NoSpacing"/>
        <w:rPr>
          <w:sz w:val="10"/>
          <w:szCs w:val="10"/>
        </w:rPr>
      </w:pPr>
    </w:p>
    <w:p w14:paraId="15AF4427" w14:textId="77777777" w:rsidR="00273931" w:rsidRDefault="00273931" w:rsidP="00273931">
      <w:pPr>
        <w:pStyle w:val="NoSpacing"/>
        <w:rPr>
          <w:rFonts w:ascii="Calibri" w:hAnsi="Calibri" w:cs="Calibri"/>
          <w:sz w:val="22"/>
          <w:szCs w:val="22"/>
        </w:rPr>
      </w:pPr>
      <w:r w:rsidRPr="00273931">
        <w:rPr>
          <w:rFonts w:ascii="Calibri" w:hAnsi="Calibri" w:cs="Calibri"/>
          <w:sz w:val="22"/>
          <w:szCs w:val="22"/>
        </w:rPr>
        <w:t>The process involves two potential periods:</w:t>
      </w:r>
    </w:p>
    <w:p w14:paraId="33867930" w14:textId="77777777" w:rsidR="00273931" w:rsidRPr="00273931" w:rsidRDefault="00273931" w:rsidP="00273931">
      <w:pPr>
        <w:pStyle w:val="NoSpacing"/>
        <w:rPr>
          <w:rFonts w:ascii="Calibri" w:hAnsi="Calibri" w:cs="Calibri"/>
          <w:sz w:val="10"/>
          <w:szCs w:val="10"/>
        </w:rPr>
      </w:pPr>
    </w:p>
    <w:p w14:paraId="7FD657C4" w14:textId="77777777" w:rsidR="00273931" w:rsidRDefault="00273931" w:rsidP="00273931">
      <w:pPr>
        <w:pStyle w:val="NoSpacing"/>
        <w:ind w:left="720"/>
        <w:rPr>
          <w:rFonts w:ascii="Calibri" w:hAnsi="Calibri" w:cs="Calibri"/>
          <w:b/>
          <w:bCs/>
          <w:sz w:val="22"/>
          <w:szCs w:val="22"/>
        </w:rPr>
      </w:pPr>
      <w:r w:rsidRPr="00273931">
        <w:rPr>
          <w:rFonts w:ascii="Calibri" w:hAnsi="Calibri" w:cs="Calibri"/>
          <w:b/>
          <w:bCs/>
          <w:sz w:val="22"/>
          <w:szCs w:val="22"/>
        </w:rPr>
        <w:t>Interim Period (6 weeks):</w:t>
      </w:r>
    </w:p>
    <w:p w14:paraId="6CD781E1" w14:textId="77777777" w:rsidR="00273931" w:rsidRPr="00273931" w:rsidRDefault="00273931" w:rsidP="00273931">
      <w:pPr>
        <w:pStyle w:val="NoSpacing"/>
        <w:ind w:left="720"/>
        <w:rPr>
          <w:rFonts w:ascii="Calibri" w:hAnsi="Calibri" w:cs="Calibri"/>
          <w:b/>
          <w:bCs/>
          <w:sz w:val="10"/>
          <w:szCs w:val="10"/>
        </w:rPr>
      </w:pPr>
    </w:p>
    <w:p w14:paraId="5CF204F8" w14:textId="77777777" w:rsidR="00273931" w:rsidRPr="00273931" w:rsidRDefault="00273931" w:rsidP="00273931">
      <w:pPr>
        <w:pStyle w:val="NoSpacing"/>
        <w:numPr>
          <w:ilvl w:val="0"/>
          <w:numId w:val="16"/>
        </w:numPr>
        <w:ind w:left="1440"/>
        <w:rPr>
          <w:rFonts w:ascii="Calibri" w:hAnsi="Calibri" w:cs="Calibri"/>
          <w:sz w:val="22"/>
          <w:szCs w:val="22"/>
        </w:rPr>
      </w:pPr>
      <w:r w:rsidRPr="00273931">
        <w:rPr>
          <w:rFonts w:ascii="Calibri" w:hAnsi="Calibri" w:cs="Calibri"/>
          <w:sz w:val="22"/>
          <w:szCs w:val="22"/>
        </w:rPr>
        <w:t>Starts when owner formally notifies Cherwell DC of intention to sell</w:t>
      </w:r>
    </w:p>
    <w:p w14:paraId="4BB58738" w14:textId="77777777" w:rsidR="00273931" w:rsidRPr="00273931" w:rsidRDefault="00273931" w:rsidP="00273931">
      <w:pPr>
        <w:pStyle w:val="NoSpacing"/>
        <w:numPr>
          <w:ilvl w:val="0"/>
          <w:numId w:val="16"/>
        </w:numPr>
        <w:ind w:left="1440"/>
        <w:rPr>
          <w:rFonts w:ascii="Calibri" w:hAnsi="Calibri" w:cs="Calibri"/>
          <w:sz w:val="22"/>
          <w:szCs w:val="22"/>
        </w:rPr>
      </w:pPr>
      <w:r w:rsidRPr="00273931">
        <w:rPr>
          <w:rFonts w:ascii="Calibri" w:hAnsi="Calibri" w:cs="Calibri"/>
          <w:sz w:val="22"/>
          <w:szCs w:val="22"/>
        </w:rPr>
        <w:t>During this time, the community can register as a potential bidder</w:t>
      </w:r>
    </w:p>
    <w:p w14:paraId="0E11431E" w14:textId="77777777" w:rsidR="00273931" w:rsidRDefault="00273931" w:rsidP="00273931">
      <w:pPr>
        <w:pStyle w:val="NoSpacing"/>
        <w:numPr>
          <w:ilvl w:val="0"/>
          <w:numId w:val="16"/>
        </w:numPr>
        <w:ind w:left="1440"/>
        <w:rPr>
          <w:rFonts w:ascii="Calibri" w:hAnsi="Calibri" w:cs="Calibri"/>
          <w:sz w:val="22"/>
          <w:szCs w:val="22"/>
        </w:rPr>
      </w:pPr>
      <w:r w:rsidRPr="00273931">
        <w:rPr>
          <w:rFonts w:ascii="Calibri" w:hAnsi="Calibri" w:cs="Calibri"/>
          <w:sz w:val="22"/>
          <w:szCs w:val="22"/>
        </w:rPr>
        <w:t>No financial commitment required at this stage</w:t>
      </w:r>
    </w:p>
    <w:p w14:paraId="34BFA199" w14:textId="77777777" w:rsidR="00273931" w:rsidRPr="00273931" w:rsidRDefault="00273931" w:rsidP="00273931">
      <w:pPr>
        <w:pStyle w:val="NoSpacing"/>
        <w:ind w:left="1440"/>
        <w:rPr>
          <w:rFonts w:ascii="Calibri" w:hAnsi="Calibri" w:cs="Calibri"/>
          <w:sz w:val="10"/>
          <w:szCs w:val="10"/>
        </w:rPr>
      </w:pPr>
    </w:p>
    <w:p w14:paraId="47488C39" w14:textId="77777777" w:rsidR="00273931" w:rsidRDefault="00273931" w:rsidP="00273931">
      <w:pPr>
        <w:pStyle w:val="NoSpacing"/>
        <w:ind w:left="720"/>
        <w:rPr>
          <w:rFonts w:ascii="Calibri" w:hAnsi="Calibri" w:cs="Calibri"/>
          <w:b/>
          <w:bCs/>
          <w:sz w:val="22"/>
          <w:szCs w:val="22"/>
        </w:rPr>
      </w:pPr>
      <w:r w:rsidRPr="00273931">
        <w:rPr>
          <w:rFonts w:ascii="Calibri" w:hAnsi="Calibri" w:cs="Calibri"/>
          <w:b/>
          <w:bCs/>
          <w:sz w:val="22"/>
          <w:szCs w:val="22"/>
        </w:rPr>
        <w:t>Full Period (6 months):</w:t>
      </w:r>
    </w:p>
    <w:p w14:paraId="47D3AD9B" w14:textId="77777777" w:rsidR="00273931" w:rsidRPr="00273931" w:rsidRDefault="00273931" w:rsidP="00273931">
      <w:pPr>
        <w:pStyle w:val="NoSpacing"/>
        <w:ind w:left="720"/>
        <w:rPr>
          <w:rFonts w:ascii="Calibri" w:hAnsi="Calibri" w:cs="Calibri"/>
          <w:b/>
          <w:bCs/>
          <w:sz w:val="10"/>
          <w:szCs w:val="10"/>
        </w:rPr>
      </w:pPr>
    </w:p>
    <w:p w14:paraId="453834A2" w14:textId="77777777" w:rsidR="00273931" w:rsidRPr="00273931" w:rsidRDefault="00273931" w:rsidP="00273931">
      <w:pPr>
        <w:pStyle w:val="NoSpacing"/>
        <w:numPr>
          <w:ilvl w:val="0"/>
          <w:numId w:val="17"/>
        </w:numPr>
        <w:ind w:left="1440"/>
        <w:rPr>
          <w:rFonts w:ascii="Calibri" w:hAnsi="Calibri" w:cs="Calibri"/>
          <w:sz w:val="22"/>
          <w:szCs w:val="22"/>
        </w:rPr>
      </w:pPr>
      <w:r w:rsidRPr="00273931">
        <w:rPr>
          <w:rFonts w:ascii="Calibri" w:hAnsi="Calibri" w:cs="Calibri"/>
          <w:sz w:val="22"/>
          <w:szCs w:val="22"/>
        </w:rPr>
        <w:t>Triggered only if community registers interest during initial 6-week period</w:t>
      </w:r>
    </w:p>
    <w:p w14:paraId="18480119" w14:textId="77777777" w:rsidR="00273931" w:rsidRPr="00273931" w:rsidRDefault="00273931" w:rsidP="00273931">
      <w:pPr>
        <w:pStyle w:val="NoSpacing"/>
        <w:numPr>
          <w:ilvl w:val="0"/>
          <w:numId w:val="17"/>
        </w:numPr>
        <w:ind w:left="1440"/>
        <w:rPr>
          <w:rFonts w:ascii="Calibri" w:hAnsi="Calibri" w:cs="Calibri"/>
          <w:sz w:val="22"/>
          <w:szCs w:val="22"/>
        </w:rPr>
      </w:pPr>
      <w:r w:rsidRPr="00273931">
        <w:rPr>
          <w:rFonts w:ascii="Calibri" w:hAnsi="Calibri" w:cs="Calibri"/>
          <w:sz w:val="22"/>
          <w:szCs w:val="22"/>
        </w:rPr>
        <w:t>Provides protected time to develop business plan and raise funds</w:t>
      </w:r>
    </w:p>
    <w:p w14:paraId="1D5ED22F" w14:textId="77777777" w:rsidR="00273931" w:rsidRPr="00273931" w:rsidRDefault="00273931" w:rsidP="00273931">
      <w:pPr>
        <w:pStyle w:val="NoSpacing"/>
        <w:numPr>
          <w:ilvl w:val="0"/>
          <w:numId w:val="17"/>
        </w:numPr>
        <w:ind w:left="1440"/>
        <w:rPr>
          <w:rFonts w:ascii="Calibri" w:hAnsi="Calibri" w:cs="Calibri"/>
          <w:sz w:val="22"/>
          <w:szCs w:val="22"/>
        </w:rPr>
      </w:pPr>
      <w:r w:rsidRPr="00273931">
        <w:rPr>
          <w:rFonts w:ascii="Calibri" w:hAnsi="Calibri" w:cs="Calibri"/>
          <w:sz w:val="22"/>
          <w:szCs w:val="22"/>
        </w:rPr>
        <w:t>Community can withdraw at any point</w:t>
      </w:r>
    </w:p>
    <w:p w14:paraId="59B20E18" w14:textId="77777777" w:rsidR="00273931" w:rsidRDefault="00273931" w:rsidP="00273931">
      <w:pPr>
        <w:pStyle w:val="NoSpacing"/>
        <w:numPr>
          <w:ilvl w:val="0"/>
          <w:numId w:val="17"/>
        </w:numPr>
        <w:ind w:left="1440"/>
        <w:rPr>
          <w:rFonts w:ascii="Calibri" w:hAnsi="Calibri" w:cs="Calibri"/>
          <w:sz w:val="22"/>
          <w:szCs w:val="22"/>
        </w:rPr>
      </w:pPr>
      <w:r w:rsidRPr="00273931">
        <w:rPr>
          <w:rFonts w:ascii="Calibri" w:hAnsi="Calibri" w:cs="Calibri"/>
          <w:sz w:val="22"/>
          <w:szCs w:val="22"/>
        </w:rPr>
        <w:t>If no bid is made or accepted, owner can sell to anyone</w:t>
      </w:r>
    </w:p>
    <w:p w14:paraId="44C88A6B" w14:textId="77777777" w:rsidR="00273931" w:rsidRPr="00273931" w:rsidRDefault="00273931" w:rsidP="00273931">
      <w:pPr>
        <w:pStyle w:val="NoSpacing"/>
        <w:ind w:left="720"/>
        <w:rPr>
          <w:rFonts w:ascii="Calibri" w:hAnsi="Calibri" w:cs="Calibri"/>
          <w:sz w:val="10"/>
          <w:szCs w:val="10"/>
        </w:rPr>
      </w:pPr>
    </w:p>
    <w:p w14:paraId="1ED39154" w14:textId="77777777" w:rsidR="00273931" w:rsidRDefault="00273931" w:rsidP="00273931">
      <w:pPr>
        <w:pStyle w:val="NoSpacing"/>
        <w:rPr>
          <w:rStyle w:val="Strong"/>
          <w:rFonts w:ascii="Calibri" w:hAnsi="Calibri" w:cs="Calibri"/>
          <w:sz w:val="22"/>
          <w:szCs w:val="22"/>
        </w:rPr>
      </w:pPr>
      <w:r w:rsidRPr="00273931">
        <w:rPr>
          <w:rStyle w:val="Strong"/>
          <w:rFonts w:ascii="Calibri" w:hAnsi="Calibri" w:cs="Calibri"/>
          <w:sz w:val="22"/>
          <w:szCs w:val="22"/>
        </w:rPr>
        <w:t>3. Financial Considerations</w:t>
      </w:r>
    </w:p>
    <w:p w14:paraId="49E0D085" w14:textId="77777777" w:rsidR="00273931" w:rsidRPr="00273931" w:rsidRDefault="00273931" w:rsidP="00273931">
      <w:pPr>
        <w:pStyle w:val="NoSpacing"/>
        <w:rPr>
          <w:rStyle w:val="Strong"/>
          <w:rFonts w:ascii="Calibri" w:hAnsi="Calibri" w:cs="Calibri"/>
          <w:sz w:val="10"/>
          <w:szCs w:val="10"/>
        </w:rPr>
      </w:pPr>
    </w:p>
    <w:p w14:paraId="21ADC986" w14:textId="77777777" w:rsidR="00273931" w:rsidRDefault="00273931" w:rsidP="00273931">
      <w:pPr>
        <w:pStyle w:val="NoSpacing"/>
        <w:rPr>
          <w:rFonts w:ascii="Calibri" w:hAnsi="Calibri" w:cs="Calibri"/>
          <w:sz w:val="22"/>
          <w:szCs w:val="22"/>
        </w:rPr>
      </w:pPr>
      <w:r w:rsidRPr="00273931">
        <w:rPr>
          <w:rFonts w:ascii="Calibri" w:hAnsi="Calibri" w:cs="Calibri"/>
          <w:sz w:val="22"/>
          <w:szCs w:val="22"/>
        </w:rPr>
        <w:t xml:space="preserve">Purchase costs will include the guide price plus VAT, legal fees, surveys, stamp duty, and working capital. </w:t>
      </w:r>
    </w:p>
    <w:p w14:paraId="72ADE4F0" w14:textId="77777777" w:rsidR="00273931" w:rsidRPr="00273931" w:rsidRDefault="00273931" w:rsidP="00273931">
      <w:pPr>
        <w:pStyle w:val="NoSpacing"/>
        <w:rPr>
          <w:rFonts w:ascii="Calibri" w:hAnsi="Calibri" w:cs="Calibri"/>
          <w:sz w:val="10"/>
          <w:szCs w:val="10"/>
        </w:rPr>
      </w:pPr>
    </w:p>
    <w:p w14:paraId="357AF87E" w14:textId="2318CF2E" w:rsidR="00273931" w:rsidRDefault="00273931" w:rsidP="00273931">
      <w:pPr>
        <w:pStyle w:val="NoSpacing"/>
        <w:ind w:left="720"/>
        <w:rPr>
          <w:rFonts w:ascii="Calibri" w:hAnsi="Calibri" w:cs="Calibri"/>
          <w:b/>
          <w:bCs/>
          <w:sz w:val="22"/>
          <w:szCs w:val="22"/>
        </w:rPr>
      </w:pPr>
      <w:r w:rsidRPr="00273931">
        <w:rPr>
          <w:rFonts w:ascii="Calibri" w:hAnsi="Calibri" w:cs="Calibri"/>
          <w:b/>
          <w:bCs/>
          <w:sz w:val="22"/>
          <w:szCs w:val="22"/>
        </w:rPr>
        <w:t>Funding typically combines:</w:t>
      </w:r>
    </w:p>
    <w:p w14:paraId="47B67526" w14:textId="77777777" w:rsidR="00273931" w:rsidRPr="00273931" w:rsidRDefault="00273931" w:rsidP="00273931">
      <w:pPr>
        <w:pStyle w:val="NoSpacing"/>
        <w:ind w:left="720"/>
        <w:rPr>
          <w:rFonts w:ascii="Calibri" w:hAnsi="Calibri" w:cs="Calibri"/>
          <w:b/>
          <w:bCs/>
          <w:sz w:val="10"/>
          <w:szCs w:val="10"/>
        </w:rPr>
      </w:pPr>
    </w:p>
    <w:p w14:paraId="499BBD5C" w14:textId="77777777" w:rsidR="00273931" w:rsidRPr="00273931" w:rsidRDefault="00273931" w:rsidP="00273931">
      <w:pPr>
        <w:pStyle w:val="NoSpacing"/>
        <w:numPr>
          <w:ilvl w:val="0"/>
          <w:numId w:val="18"/>
        </w:numPr>
        <w:ind w:left="1440"/>
        <w:rPr>
          <w:rFonts w:ascii="Calibri" w:hAnsi="Calibri" w:cs="Calibri"/>
          <w:sz w:val="22"/>
          <w:szCs w:val="22"/>
        </w:rPr>
      </w:pPr>
      <w:r w:rsidRPr="00273931">
        <w:rPr>
          <w:rFonts w:ascii="Calibri" w:hAnsi="Calibri" w:cs="Calibri"/>
          <w:sz w:val="22"/>
          <w:szCs w:val="22"/>
        </w:rPr>
        <w:t>Community shares (minimum investments usually £250-£500)</w:t>
      </w:r>
    </w:p>
    <w:p w14:paraId="76BC461D" w14:textId="77777777" w:rsidR="00273931" w:rsidRPr="00273931" w:rsidRDefault="00273931" w:rsidP="00273931">
      <w:pPr>
        <w:pStyle w:val="NoSpacing"/>
        <w:numPr>
          <w:ilvl w:val="0"/>
          <w:numId w:val="18"/>
        </w:numPr>
        <w:ind w:left="1440"/>
        <w:rPr>
          <w:rFonts w:ascii="Calibri" w:hAnsi="Calibri" w:cs="Calibri"/>
          <w:sz w:val="22"/>
          <w:szCs w:val="22"/>
        </w:rPr>
      </w:pPr>
      <w:r w:rsidRPr="00273931">
        <w:rPr>
          <w:rFonts w:ascii="Calibri" w:hAnsi="Calibri" w:cs="Calibri"/>
          <w:sz w:val="22"/>
          <w:szCs w:val="22"/>
        </w:rPr>
        <w:t>Government grants (Community Ownership Fund offers up to £250,000)</w:t>
      </w:r>
    </w:p>
    <w:p w14:paraId="2FDAC29E" w14:textId="77777777" w:rsidR="00273931" w:rsidRPr="00273931" w:rsidRDefault="00273931" w:rsidP="00273931">
      <w:pPr>
        <w:pStyle w:val="NoSpacing"/>
        <w:numPr>
          <w:ilvl w:val="0"/>
          <w:numId w:val="18"/>
        </w:numPr>
        <w:ind w:left="1440"/>
        <w:rPr>
          <w:rFonts w:ascii="Calibri" w:hAnsi="Calibri" w:cs="Calibri"/>
          <w:sz w:val="22"/>
          <w:szCs w:val="22"/>
        </w:rPr>
      </w:pPr>
      <w:r w:rsidRPr="00273931">
        <w:rPr>
          <w:rFonts w:ascii="Calibri" w:hAnsi="Calibri" w:cs="Calibri"/>
          <w:sz w:val="22"/>
          <w:szCs w:val="22"/>
        </w:rPr>
        <w:t>Social investment loans</w:t>
      </w:r>
    </w:p>
    <w:p w14:paraId="7668F971" w14:textId="77777777" w:rsidR="00273931" w:rsidRDefault="00273931" w:rsidP="00273931">
      <w:pPr>
        <w:pStyle w:val="NoSpacing"/>
        <w:numPr>
          <w:ilvl w:val="0"/>
          <w:numId w:val="18"/>
        </w:numPr>
        <w:ind w:left="1440"/>
        <w:rPr>
          <w:rFonts w:ascii="Calibri" w:hAnsi="Calibri" w:cs="Calibri"/>
          <w:sz w:val="22"/>
          <w:szCs w:val="22"/>
        </w:rPr>
      </w:pPr>
      <w:r w:rsidRPr="00273931">
        <w:rPr>
          <w:rFonts w:ascii="Calibri" w:hAnsi="Calibri" w:cs="Calibri"/>
          <w:sz w:val="22"/>
          <w:szCs w:val="22"/>
        </w:rPr>
        <w:t>Public Works Loan Board (if Parish Council led)</w:t>
      </w:r>
    </w:p>
    <w:p w14:paraId="466FB971" w14:textId="77777777" w:rsidR="00273931" w:rsidRPr="00273931" w:rsidRDefault="00273931" w:rsidP="00273931">
      <w:pPr>
        <w:pStyle w:val="NoSpacing"/>
        <w:ind w:left="720"/>
        <w:rPr>
          <w:rFonts w:ascii="Calibri" w:hAnsi="Calibri" w:cs="Calibri"/>
          <w:sz w:val="10"/>
          <w:szCs w:val="10"/>
        </w:rPr>
      </w:pPr>
    </w:p>
    <w:p w14:paraId="34366048" w14:textId="2D1B85FA" w:rsidR="00273931" w:rsidRDefault="00273931" w:rsidP="00273931">
      <w:pPr>
        <w:pStyle w:val="NoSpacing"/>
        <w:rPr>
          <w:rStyle w:val="Strong"/>
          <w:rFonts w:ascii="Calibri" w:hAnsi="Calibri" w:cs="Calibri"/>
          <w:sz w:val="22"/>
          <w:szCs w:val="22"/>
        </w:rPr>
      </w:pPr>
      <w:r w:rsidRPr="00273931">
        <w:rPr>
          <w:rStyle w:val="Strong"/>
          <w:rFonts w:ascii="Calibri" w:hAnsi="Calibri" w:cs="Calibri"/>
          <w:sz w:val="22"/>
          <w:szCs w:val="22"/>
        </w:rPr>
        <w:t>4. Organi</w:t>
      </w:r>
      <w:r w:rsidRPr="00273931">
        <w:rPr>
          <w:rStyle w:val="Strong"/>
          <w:rFonts w:ascii="Calibri" w:hAnsi="Calibri" w:cs="Calibri"/>
          <w:sz w:val="22"/>
          <w:szCs w:val="22"/>
        </w:rPr>
        <w:t>s</w:t>
      </w:r>
      <w:r w:rsidRPr="00273931">
        <w:rPr>
          <w:rStyle w:val="Strong"/>
          <w:rFonts w:ascii="Calibri" w:hAnsi="Calibri" w:cs="Calibri"/>
          <w:sz w:val="22"/>
          <w:szCs w:val="22"/>
        </w:rPr>
        <w:t>ational Structure</w:t>
      </w:r>
    </w:p>
    <w:p w14:paraId="2EF6FB84" w14:textId="77777777" w:rsidR="00273931" w:rsidRPr="00273931" w:rsidRDefault="00273931" w:rsidP="00273931">
      <w:pPr>
        <w:pStyle w:val="NoSpacing"/>
        <w:rPr>
          <w:rStyle w:val="Strong"/>
          <w:rFonts w:ascii="Calibri" w:hAnsi="Calibri" w:cs="Calibri"/>
          <w:sz w:val="10"/>
          <w:szCs w:val="10"/>
        </w:rPr>
      </w:pPr>
    </w:p>
    <w:p w14:paraId="7B0A6235" w14:textId="5866774D" w:rsidR="00273931" w:rsidRDefault="00273931" w:rsidP="00273931">
      <w:pPr>
        <w:pStyle w:val="NoSpacing"/>
        <w:rPr>
          <w:rFonts w:ascii="Calibri" w:hAnsi="Calibri" w:cs="Calibri"/>
          <w:sz w:val="22"/>
          <w:szCs w:val="22"/>
        </w:rPr>
      </w:pPr>
      <w:r w:rsidRPr="00273931">
        <w:rPr>
          <w:rFonts w:ascii="Calibri" w:hAnsi="Calibri" w:cs="Calibri"/>
          <w:sz w:val="22"/>
          <w:szCs w:val="22"/>
        </w:rPr>
        <w:t>The bid must come from a qualifying organi</w:t>
      </w:r>
      <w:r w:rsidRPr="00273931">
        <w:rPr>
          <w:rFonts w:ascii="Calibri" w:hAnsi="Calibri" w:cs="Calibri"/>
          <w:sz w:val="22"/>
          <w:szCs w:val="22"/>
        </w:rPr>
        <w:t>s</w:t>
      </w:r>
      <w:r w:rsidRPr="00273931">
        <w:rPr>
          <w:rFonts w:ascii="Calibri" w:hAnsi="Calibri" w:cs="Calibri"/>
          <w:sz w:val="22"/>
          <w:szCs w:val="22"/>
        </w:rPr>
        <w:t>ation, typically either:</w:t>
      </w:r>
    </w:p>
    <w:p w14:paraId="68A0E7E3" w14:textId="77777777" w:rsidR="00273931" w:rsidRPr="00273931" w:rsidRDefault="00273931" w:rsidP="00273931">
      <w:pPr>
        <w:pStyle w:val="NoSpacing"/>
        <w:rPr>
          <w:rFonts w:ascii="Calibri" w:hAnsi="Calibri" w:cs="Calibri"/>
          <w:sz w:val="10"/>
          <w:szCs w:val="10"/>
        </w:rPr>
      </w:pPr>
    </w:p>
    <w:p w14:paraId="397E1472" w14:textId="77777777" w:rsidR="00273931" w:rsidRPr="00273931" w:rsidRDefault="00273931" w:rsidP="00273931">
      <w:pPr>
        <w:pStyle w:val="NoSpacing"/>
        <w:numPr>
          <w:ilvl w:val="0"/>
          <w:numId w:val="18"/>
        </w:numPr>
        <w:rPr>
          <w:rFonts w:ascii="Calibri" w:hAnsi="Calibri" w:cs="Calibri"/>
          <w:sz w:val="22"/>
          <w:szCs w:val="22"/>
        </w:rPr>
      </w:pPr>
      <w:r w:rsidRPr="00273931">
        <w:rPr>
          <w:rFonts w:ascii="Calibri" w:hAnsi="Calibri" w:cs="Calibri"/>
          <w:sz w:val="22"/>
          <w:szCs w:val="22"/>
        </w:rPr>
        <w:t>Community Benefit Society: Allows community shares, democratic structure</w:t>
      </w:r>
    </w:p>
    <w:p w14:paraId="34E331E8" w14:textId="77777777" w:rsidR="00273931" w:rsidRPr="00273931" w:rsidRDefault="00273931" w:rsidP="00273931">
      <w:pPr>
        <w:pStyle w:val="NoSpacing"/>
        <w:numPr>
          <w:ilvl w:val="0"/>
          <w:numId w:val="18"/>
        </w:numPr>
        <w:rPr>
          <w:rFonts w:ascii="Calibri" w:hAnsi="Calibri" w:cs="Calibri"/>
          <w:sz w:val="22"/>
          <w:szCs w:val="22"/>
        </w:rPr>
      </w:pPr>
      <w:r w:rsidRPr="00273931">
        <w:rPr>
          <w:rFonts w:ascii="Calibri" w:hAnsi="Calibri" w:cs="Calibri"/>
          <w:sz w:val="22"/>
          <w:szCs w:val="22"/>
        </w:rPr>
        <w:t>Community Interest Company: More flexible, can pay limited dividends</w:t>
      </w:r>
    </w:p>
    <w:p w14:paraId="0AFE589E" w14:textId="77777777" w:rsidR="00273931" w:rsidRDefault="00273931" w:rsidP="00273931">
      <w:pPr>
        <w:pStyle w:val="NoSpacing"/>
        <w:numPr>
          <w:ilvl w:val="0"/>
          <w:numId w:val="18"/>
        </w:numPr>
        <w:rPr>
          <w:rFonts w:ascii="Calibri" w:hAnsi="Calibri" w:cs="Calibri"/>
          <w:sz w:val="22"/>
          <w:szCs w:val="22"/>
        </w:rPr>
      </w:pPr>
      <w:r w:rsidRPr="00273931">
        <w:rPr>
          <w:rFonts w:ascii="Calibri" w:hAnsi="Calibri" w:cs="Calibri"/>
          <w:sz w:val="22"/>
          <w:szCs w:val="22"/>
        </w:rPr>
        <w:t>Parish Council: Can access public works loans</w:t>
      </w:r>
    </w:p>
    <w:p w14:paraId="3EE44E1B" w14:textId="77777777" w:rsidR="00273931" w:rsidRPr="00273931" w:rsidRDefault="00273931" w:rsidP="00273931">
      <w:pPr>
        <w:pStyle w:val="NoSpacing"/>
        <w:ind w:left="720"/>
        <w:rPr>
          <w:rFonts w:ascii="Calibri" w:hAnsi="Calibri" w:cs="Calibri"/>
          <w:sz w:val="10"/>
          <w:szCs w:val="10"/>
        </w:rPr>
      </w:pPr>
    </w:p>
    <w:p w14:paraId="5A9A55E0" w14:textId="77777777" w:rsidR="00273931" w:rsidRDefault="00273931" w:rsidP="00273931">
      <w:pPr>
        <w:pStyle w:val="NoSpacing"/>
        <w:rPr>
          <w:rFonts w:ascii="Calibri" w:hAnsi="Calibri" w:cs="Calibri"/>
          <w:sz w:val="22"/>
          <w:szCs w:val="22"/>
        </w:rPr>
      </w:pPr>
      <w:r w:rsidRPr="00273931">
        <w:rPr>
          <w:rFonts w:ascii="Calibri" w:hAnsi="Calibri" w:cs="Calibri"/>
          <w:sz w:val="22"/>
          <w:szCs w:val="22"/>
        </w:rPr>
        <w:t>Each structure has different implications for governance, tax, and funding access.</w:t>
      </w:r>
    </w:p>
    <w:p w14:paraId="4CABE369" w14:textId="77777777" w:rsidR="00273931" w:rsidRPr="00273931" w:rsidRDefault="00273931" w:rsidP="00273931">
      <w:pPr>
        <w:pStyle w:val="NoSpacing"/>
        <w:rPr>
          <w:rFonts w:ascii="Calibri" w:hAnsi="Calibri" w:cs="Calibri"/>
          <w:sz w:val="10"/>
          <w:szCs w:val="10"/>
        </w:rPr>
      </w:pPr>
    </w:p>
    <w:p w14:paraId="6DDD6038" w14:textId="77777777" w:rsidR="00273931" w:rsidRDefault="00273931" w:rsidP="00273931">
      <w:pPr>
        <w:pStyle w:val="NoSpacing"/>
        <w:rPr>
          <w:rStyle w:val="Strong"/>
          <w:rFonts w:ascii="Calibri" w:hAnsi="Calibri" w:cs="Calibri"/>
          <w:sz w:val="22"/>
          <w:szCs w:val="22"/>
        </w:rPr>
      </w:pPr>
      <w:r w:rsidRPr="00273931">
        <w:rPr>
          <w:rStyle w:val="Strong"/>
          <w:rFonts w:ascii="Calibri" w:hAnsi="Calibri" w:cs="Calibri"/>
          <w:sz w:val="22"/>
          <w:szCs w:val="22"/>
        </w:rPr>
        <w:t>5. Community Requirements</w:t>
      </w:r>
    </w:p>
    <w:p w14:paraId="19AE779E" w14:textId="77777777" w:rsidR="00273931" w:rsidRPr="00273931" w:rsidRDefault="00273931" w:rsidP="00273931">
      <w:pPr>
        <w:pStyle w:val="NoSpacing"/>
        <w:rPr>
          <w:sz w:val="10"/>
          <w:szCs w:val="10"/>
        </w:rPr>
      </w:pPr>
    </w:p>
    <w:p w14:paraId="60C1291F" w14:textId="77777777" w:rsidR="00273931" w:rsidRPr="00273931" w:rsidRDefault="00273931" w:rsidP="00273931">
      <w:pPr>
        <w:pStyle w:val="NoSpacing"/>
        <w:rPr>
          <w:rFonts w:ascii="Calibri" w:hAnsi="Calibri" w:cs="Calibri"/>
          <w:sz w:val="22"/>
          <w:szCs w:val="22"/>
        </w:rPr>
      </w:pPr>
      <w:r w:rsidRPr="00273931">
        <w:rPr>
          <w:rFonts w:ascii="Calibri" w:hAnsi="Calibri" w:cs="Calibri"/>
          <w:sz w:val="22"/>
          <w:szCs w:val="22"/>
        </w:rPr>
        <w:t>Success requires:</w:t>
      </w:r>
    </w:p>
    <w:p w14:paraId="6D536FF0" w14:textId="77777777" w:rsidR="00273931" w:rsidRPr="00273931" w:rsidRDefault="00273931" w:rsidP="00273931">
      <w:pPr>
        <w:pStyle w:val="NoSpacing"/>
        <w:numPr>
          <w:ilvl w:val="0"/>
          <w:numId w:val="19"/>
        </w:numPr>
        <w:rPr>
          <w:rFonts w:ascii="Calibri" w:hAnsi="Calibri" w:cs="Calibri"/>
          <w:sz w:val="22"/>
          <w:szCs w:val="22"/>
        </w:rPr>
      </w:pPr>
      <w:r w:rsidRPr="00273931">
        <w:rPr>
          <w:rFonts w:ascii="Calibri" w:hAnsi="Calibri" w:cs="Calibri"/>
          <w:sz w:val="22"/>
          <w:szCs w:val="22"/>
        </w:rPr>
        <w:t>Core steering group (6-8 people) with financial, legal, and business expertise</w:t>
      </w:r>
    </w:p>
    <w:p w14:paraId="34FA36AF" w14:textId="77777777" w:rsidR="00273931" w:rsidRPr="00273931" w:rsidRDefault="00273931" w:rsidP="00273931">
      <w:pPr>
        <w:pStyle w:val="NoSpacing"/>
        <w:numPr>
          <w:ilvl w:val="0"/>
          <w:numId w:val="19"/>
        </w:numPr>
        <w:rPr>
          <w:rFonts w:ascii="Calibri" w:hAnsi="Calibri" w:cs="Calibri"/>
          <w:sz w:val="22"/>
          <w:szCs w:val="22"/>
        </w:rPr>
      </w:pPr>
      <w:r w:rsidRPr="00273931">
        <w:rPr>
          <w:rFonts w:ascii="Calibri" w:hAnsi="Calibri" w:cs="Calibri"/>
          <w:sz w:val="22"/>
          <w:szCs w:val="22"/>
        </w:rPr>
        <w:t>Wider community support for fundraising and volunteer roles</w:t>
      </w:r>
    </w:p>
    <w:p w14:paraId="7E10B202" w14:textId="77777777" w:rsidR="00273931" w:rsidRPr="00273931" w:rsidRDefault="00273931" w:rsidP="00273931">
      <w:pPr>
        <w:pStyle w:val="NoSpacing"/>
        <w:numPr>
          <w:ilvl w:val="0"/>
          <w:numId w:val="19"/>
        </w:numPr>
        <w:rPr>
          <w:rFonts w:ascii="Calibri" w:hAnsi="Calibri" w:cs="Calibri"/>
          <w:sz w:val="22"/>
          <w:szCs w:val="22"/>
        </w:rPr>
      </w:pPr>
      <w:r w:rsidRPr="00273931">
        <w:rPr>
          <w:rFonts w:ascii="Calibri" w:hAnsi="Calibri" w:cs="Calibri"/>
          <w:sz w:val="22"/>
          <w:szCs w:val="22"/>
        </w:rPr>
        <w:t>Clear business plan demonstrating long-term viability</w:t>
      </w:r>
    </w:p>
    <w:p w14:paraId="618A0025" w14:textId="77777777" w:rsidR="00273931" w:rsidRPr="00273931" w:rsidRDefault="00273931" w:rsidP="00273931">
      <w:pPr>
        <w:pStyle w:val="NoSpacing"/>
        <w:numPr>
          <w:ilvl w:val="0"/>
          <w:numId w:val="19"/>
        </w:numPr>
        <w:rPr>
          <w:rFonts w:ascii="Calibri" w:hAnsi="Calibri" w:cs="Calibri"/>
          <w:sz w:val="22"/>
          <w:szCs w:val="22"/>
        </w:rPr>
      </w:pPr>
      <w:r w:rsidRPr="00273931">
        <w:rPr>
          <w:rFonts w:ascii="Calibri" w:hAnsi="Calibri" w:cs="Calibri"/>
          <w:sz w:val="22"/>
          <w:szCs w:val="22"/>
        </w:rPr>
        <w:t>Sufficient community investment pledges</w:t>
      </w:r>
    </w:p>
    <w:p w14:paraId="31ED8D1A" w14:textId="38E4D969" w:rsidR="009E17D0" w:rsidRPr="00273931" w:rsidRDefault="009E17D0" w:rsidP="00273931">
      <w:pPr>
        <w:rPr>
          <w:rFonts w:ascii="Calibri" w:hAnsi="Calibri" w:cs="Calibri"/>
          <w:sz w:val="22"/>
          <w:szCs w:val="22"/>
        </w:rPr>
      </w:pPr>
    </w:p>
    <w:sectPr w:rsidR="009E17D0" w:rsidRPr="0027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7F9"/>
    <w:multiLevelType w:val="multilevel"/>
    <w:tmpl w:val="0FC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81B5A"/>
    <w:multiLevelType w:val="multilevel"/>
    <w:tmpl w:val="1F7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56694"/>
    <w:multiLevelType w:val="multilevel"/>
    <w:tmpl w:val="20FE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131D5"/>
    <w:multiLevelType w:val="multilevel"/>
    <w:tmpl w:val="D8E8D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0696"/>
    <w:multiLevelType w:val="hybridMultilevel"/>
    <w:tmpl w:val="9D4867A2"/>
    <w:lvl w:ilvl="0" w:tplc="E6F6186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05F28"/>
    <w:multiLevelType w:val="hybridMultilevel"/>
    <w:tmpl w:val="BCDCB6B0"/>
    <w:lvl w:ilvl="0" w:tplc="05C6B6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D695A"/>
    <w:multiLevelType w:val="hybridMultilevel"/>
    <w:tmpl w:val="D2A0E89E"/>
    <w:lvl w:ilvl="0" w:tplc="05C6B6F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B692D"/>
    <w:multiLevelType w:val="hybridMultilevel"/>
    <w:tmpl w:val="770C64E6"/>
    <w:lvl w:ilvl="0" w:tplc="05C6B6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34373"/>
    <w:multiLevelType w:val="hybridMultilevel"/>
    <w:tmpl w:val="3146982A"/>
    <w:lvl w:ilvl="0" w:tplc="FFFFFFFF">
      <w:numFmt w:val="bullet"/>
      <w:lvlText w:val="-"/>
      <w:lvlJc w:val="left"/>
      <w:pPr>
        <w:ind w:left="720" w:hanging="360"/>
      </w:pPr>
      <w:rPr>
        <w:rFonts w:ascii="Aptos" w:eastAsiaTheme="minorHAnsi" w:hAnsi="Aptos" w:cstheme="minorBidi" w:hint="default"/>
      </w:rPr>
    </w:lvl>
    <w:lvl w:ilvl="1" w:tplc="05C6B6F6">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8E6E5A"/>
    <w:multiLevelType w:val="hybridMultilevel"/>
    <w:tmpl w:val="768E9F6E"/>
    <w:lvl w:ilvl="0" w:tplc="05C6B6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61432"/>
    <w:multiLevelType w:val="multilevel"/>
    <w:tmpl w:val="044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64226"/>
    <w:multiLevelType w:val="hybridMultilevel"/>
    <w:tmpl w:val="264CA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61538"/>
    <w:multiLevelType w:val="hybridMultilevel"/>
    <w:tmpl w:val="7466EA42"/>
    <w:lvl w:ilvl="0" w:tplc="05C6B6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46632"/>
    <w:multiLevelType w:val="multilevel"/>
    <w:tmpl w:val="C750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E020B"/>
    <w:multiLevelType w:val="hybridMultilevel"/>
    <w:tmpl w:val="73F861BA"/>
    <w:lvl w:ilvl="0" w:tplc="FFFFFFFF">
      <w:numFmt w:val="bullet"/>
      <w:lvlText w:val="-"/>
      <w:lvlJc w:val="left"/>
      <w:pPr>
        <w:ind w:left="720" w:hanging="360"/>
      </w:pPr>
      <w:rPr>
        <w:rFonts w:ascii="Aptos" w:eastAsiaTheme="minorHAnsi" w:hAnsi="Aptos" w:cstheme="minorBidi" w:hint="default"/>
      </w:rPr>
    </w:lvl>
    <w:lvl w:ilvl="1" w:tplc="05C6B6F6">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1057ED"/>
    <w:multiLevelType w:val="hybridMultilevel"/>
    <w:tmpl w:val="FA227570"/>
    <w:lvl w:ilvl="0" w:tplc="FFFFFFFF">
      <w:numFmt w:val="bullet"/>
      <w:lvlText w:val="-"/>
      <w:lvlJc w:val="left"/>
      <w:pPr>
        <w:ind w:left="720" w:hanging="360"/>
      </w:pPr>
      <w:rPr>
        <w:rFonts w:ascii="Aptos" w:eastAsiaTheme="minorHAnsi" w:hAnsi="Aptos" w:cstheme="minorBidi" w:hint="default"/>
      </w:rPr>
    </w:lvl>
    <w:lvl w:ilvl="1" w:tplc="05C6B6F6">
      <w:numFmt w:val="bullet"/>
      <w:lvlText w:val="-"/>
      <w:lvlJc w:val="left"/>
      <w:pPr>
        <w:ind w:left="1440" w:hanging="360"/>
      </w:pPr>
      <w:rPr>
        <w:rFonts w:ascii="Aptos" w:eastAsiaTheme="minorHAnsi" w:hAnsi="Aptos" w:cstheme="minorBid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A22C6E"/>
    <w:multiLevelType w:val="multilevel"/>
    <w:tmpl w:val="7E9A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60A18"/>
    <w:multiLevelType w:val="multilevel"/>
    <w:tmpl w:val="CAE4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576A2"/>
    <w:multiLevelType w:val="hybridMultilevel"/>
    <w:tmpl w:val="E88E1CAA"/>
    <w:lvl w:ilvl="0" w:tplc="05C6B6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843679">
    <w:abstractNumId w:val="11"/>
  </w:num>
  <w:num w:numId="2" w16cid:durableId="1051881068">
    <w:abstractNumId w:val="4"/>
  </w:num>
  <w:num w:numId="3" w16cid:durableId="923759309">
    <w:abstractNumId w:val="9"/>
  </w:num>
  <w:num w:numId="4" w16cid:durableId="1269267888">
    <w:abstractNumId w:val="6"/>
  </w:num>
  <w:num w:numId="5" w16cid:durableId="301084328">
    <w:abstractNumId w:val="17"/>
  </w:num>
  <w:num w:numId="6" w16cid:durableId="1279682818">
    <w:abstractNumId w:val="3"/>
  </w:num>
  <w:num w:numId="7" w16cid:durableId="1315338029">
    <w:abstractNumId w:val="10"/>
  </w:num>
  <w:num w:numId="8" w16cid:durableId="239951102">
    <w:abstractNumId w:val="14"/>
  </w:num>
  <w:num w:numId="9" w16cid:durableId="1125663201">
    <w:abstractNumId w:val="8"/>
  </w:num>
  <w:num w:numId="10" w16cid:durableId="1702441543">
    <w:abstractNumId w:val="15"/>
  </w:num>
  <w:num w:numId="11" w16cid:durableId="154810080">
    <w:abstractNumId w:val="13"/>
  </w:num>
  <w:num w:numId="12" w16cid:durableId="2008091061">
    <w:abstractNumId w:val="16"/>
  </w:num>
  <w:num w:numId="13" w16cid:durableId="1084836271">
    <w:abstractNumId w:val="0"/>
  </w:num>
  <w:num w:numId="14" w16cid:durableId="826357836">
    <w:abstractNumId w:val="2"/>
  </w:num>
  <w:num w:numId="15" w16cid:durableId="1532258662">
    <w:abstractNumId w:val="1"/>
  </w:num>
  <w:num w:numId="16" w16cid:durableId="329914690">
    <w:abstractNumId w:val="7"/>
  </w:num>
  <w:num w:numId="17" w16cid:durableId="1922635685">
    <w:abstractNumId w:val="12"/>
  </w:num>
  <w:num w:numId="18" w16cid:durableId="641692742">
    <w:abstractNumId w:val="18"/>
  </w:num>
  <w:num w:numId="19" w16cid:durableId="1285573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D0"/>
    <w:rsid w:val="00273931"/>
    <w:rsid w:val="003E4976"/>
    <w:rsid w:val="0058636E"/>
    <w:rsid w:val="008540DD"/>
    <w:rsid w:val="009E17D0"/>
    <w:rsid w:val="00B1728B"/>
    <w:rsid w:val="00D20444"/>
    <w:rsid w:val="00D56795"/>
    <w:rsid w:val="00E301C1"/>
    <w:rsid w:val="00E84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2DB4"/>
  <w15:chartTrackingRefBased/>
  <w15:docId w15:val="{C9B8ADB0-4F3E-4A71-A3CD-C700A3DF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D0"/>
    <w:rPr>
      <w:rFonts w:eastAsiaTheme="majorEastAsia" w:cstheme="majorBidi"/>
      <w:color w:val="272727" w:themeColor="text1" w:themeTint="D8"/>
    </w:rPr>
  </w:style>
  <w:style w:type="paragraph" w:styleId="Title">
    <w:name w:val="Title"/>
    <w:basedOn w:val="Normal"/>
    <w:next w:val="Normal"/>
    <w:link w:val="TitleChar"/>
    <w:uiPriority w:val="10"/>
    <w:qFormat/>
    <w:rsid w:val="009E1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D0"/>
    <w:pPr>
      <w:spacing w:before="160"/>
      <w:jc w:val="center"/>
    </w:pPr>
    <w:rPr>
      <w:i/>
      <w:iCs/>
      <w:color w:val="404040" w:themeColor="text1" w:themeTint="BF"/>
    </w:rPr>
  </w:style>
  <w:style w:type="character" w:customStyle="1" w:styleId="QuoteChar">
    <w:name w:val="Quote Char"/>
    <w:basedOn w:val="DefaultParagraphFont"/>
    <w:link w:val="Quote"/>
    <w:uiPriority w:val="29"/>
    <w:rsid w:val="009E17D0"/>
    <w:rPr>
      <w:i/>
      <w:iCs/>
      <w:color w:val="404040" w:themeColor="text1" w:themeTint="BF"/>
    </w:rPr>
  </w:style>
  <w:style w:type="paragraph" w:styleId="ListParagraph">
    <w:name w:val="List Paragraph"/>
    <w:basedOn w:val="Normal"/>
    <w:uiPriority w:val="34"/>
    <w:qFormat/>
    <w:rsid w:val="009E17D0"/>
    <w:pPr>
      <w:ind w:left="720"/>
      <w:contextualSpacing/>
    </w:pPr>
  </w:style>
  <w:style w:type="character" w:styleId="IntenseEmphasis">
    <w:name w:val="Intense Emphasis"/>
    <w:basedOn w:val="DefaultParagraphFont"/>
    <w:uiPriority w:val="21"/>
    <w:qFormat/>
    <w:rsid w:val="009E17D0"/>
    <w:rPr>
      <w:i/>
      <w:iCs/>
      <w:color w:val="0F4761" w:themeColor="accent1" w:themeShade="BF"/>
    </w:rPr>
  </w:style>
  <w:style w:type="paragraph" w:styleId="IntenseQuote">
    <w:name w:val="Intense Quote"/>
    <w:basedOn w:val="Normal"/>
    <w:next w:val="Normal"/>
    <w:link w:val="IntenseQuoteChar"/>
    <w:uiPriority w:val="30"/>
    <w:qFormat/>
    <w:rsid w:val="009E1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7D0"/>
    <w:rPr>
      <w:i/>
      <w:iCs/>
      <w:color w:val="0F4761" w:themeColor="accent1" w:themeShade="BF"/>
    </w:rPr>
  </w:style>
  <w:style w:type="character" w:styleId="IntenseReference">
    <w:name w:val="Intense Reference"/>
    <w:basedOn w:val="DefaultParagraphFont"/>
    <w:uiPriority w:val="32"/>
    <w:qFormat/>
    <w:rsid w:val="009E17D0"/>
    <w:rPr>
      <w:b/>
      <w:bCs/>
      <w:smallCaps/>
      <w:color w:val="0F4761" w:themeColor="accent1" w:themeShade="BF"/>
      <w:spacing w:val="5"/>
    </w:rPr>
  </w:style>
  <w:style w:type="paragraph" w:styleId="NoSpacing">
    <w:name w:val="No Spacing"/>
    <w:uiPriority w:val="1"/>
    <w:qFormat/>
    <w:rsid w:val="00D56795"/>
    <w:pPr>
      <w:spacing w:after="0" w:line="240" w:lineRule="auto"/>
    </w:pPr>
  </w:style>
  <w:style w:type="paragraph" w:customStyle="1" w:styleId="whitespace-pre-wrap">
    <w:name w:val="whitespace-pre-wrap"/>
    <w:basedOn w:val="Normal"/>
    <w:rsid w:val="0027393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73931"/>
    <w:rPr>
      <w:b/>
      <w:bCs/>
    </w:rPr>
  </w:style>
  <w:style w:type="paragraph" w:customStyle="1" w:styleId="whitespace-normal">
    <w:name w:val="whitespace-normal"/>
    <w:basedOn w:val="Normal"/>
    <w:rsid w:val="0027393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53054">
      <w:bodyDiv w:val="1"/>
      <w:marLeft w:val="0"/>
      <w:marRight w:val="0"/>
      <w:marTop w:val="0"/>
      <w:marBottom w:val="0"/>
      <w:divBdr>
        <w:top w:val="none" w:sz="0" w:space="0" w:color="auto"/>
        <w:left w:val="none" w:sz="0" w:space="0" w:color="auto"/>
        <w:bottom w:val="none" w:sz="0" w:space="0" w:color="auto"/>
        <w:right w:val="none" w:sz="0" w:space="0" w:color="auto"/>
      </w:divBdr>
    </w:div>
    <w:div w:id="701518940">
      <w:bodyDiv w:val="1"/>
      <w:marLeft w:val="0"/>
      <w:marRight w:val="0"/>
      <w:marTop w:val="0"/>
      <w:marBottom w:val="0"/>
      <w:divBdr>
        <w:top w:val="none" w:sz="0" w:space="0" w:color="auto"/>
        <w:left w:val="none" w:sz="0" w:space="0" w:color="auto"/>
        <w:bottom w:val="none" w:sz="0" w:space="0" w:color="auto"/>
        <w:right w:val="none" w:sz="0" w:space="0" w:color="auto"/>
      </w:divBdr>
    </w:div>
    <w:div w:id="10205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4</cp:revision>
  <dcterms:created xsi:type="dcterms:W3CDTF">2025-01-17T11:20:00Z</dcterms:created>
  <dcterms:modified xsi:type="dcterms:W3CDTF">2025-01-17T11:47:00Z</dcterms:modified>
</cp:coreProperties>
</file>